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1"/>
        <w:rPr/>
      </w:pPr>
      <w:r>
        <w:rPr>
          <w:rFonts w:eastAsia="Times New Roman" w:cs="Times New Roman" w:ascii="Times New Roman" w:hAnsi="Times New Roman"/>
          <w:b/>
          <w:bCs/>
          <w:sz w:val="36"/>
          <w:szCs w:val="36"/>
          <w:lang w:eastAsia="pl-PL"/>
        </w:rPr>
        <w:t xml:space="preserve">Informacje </w:t>
      </w:r>
      <w:r>
        <w:rPr>
          <w:rFonts w:eastAsia="Times New Roman" w:cs="Times New Roman" w:ascii="Times New Roman" w:hAnsi="Times New Roman"/>
          <w:b/>
          <w:bCs/>
          <w:sz w:val="36"/>
          <w:szCs w:val="36"/>
          <w:lang w:eastAsia="pl-PL"/>
        </w:rPr>
        <w:t>dotyczące ś</w:t>
      </w:r>
      <w:r>
        <w:rPr>
          <w:rFonts w:eastAsia="Times New Roman" w:cs="Times New Roman" w:ascii="Times New Roman" w:hAnsi="Times New Roman"/>
          <w:b/>
          <w:bCs/>
          <w:sz w:val="36"/>
          <w:szCs w:val="36"/>
          <w:lang w:eastAsia="pl-PL"/>
        </w:rPr>
        <w:t>wiadczeni</w:t>
      </w:r>
      <w:r>
        <w:rPr>
          <w:rFonts w:eastAsia="Times New Roman" w:cs="Times New Roman" w:ascii="Times New Roman" w:hAnsi="Times New Roman"/>
          <w:b/>
          <w:bCs/>
          <w:sz w:val="36"/>
          <w:szCs w:val="36"/>
          <w:lang w:eastAsia="pl-PL"/>
        </w:rPr>
        <w:t>a</w:t>
      </w:r>
      <w:r>
        <w:rPr>
          <w:rFonts w:eastAsia="Times New Roman" w:cs="Times New Roman" w:ascii="Times New Roman" w:hAnsi="Times New Roman"/>
          <w:b/>
          <w:bCs/>
          <w:sz w:val="36"/>
          <w:szCs w:val="36"/>
          <w:lang w:eastAsia="pl-PL"/>
        </w:rPr>
        <w:t xml:space="preserve"> wspierające</w:t>
      </w:r>
      <w:r>
        <w:rPr>
          <w:rFonts w:eastAsia="Times New Roman" w:cs="Times New Roman" w:ascii="Times New Roman" w:hAnsi="Times New Roman"/>
          <w:b/>
          <w:bCs/>
          <w:sz w:val="36"/>
          <w:szCs w:val="36"/>
          <w:lang w:eastAsia="pl-PL"/>
        </w:rPr>
        <w:t>go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1"/>
        <w:rPr/>
      </w:pPr>
      <w:r>
        <w:rPr>
          <w:rFonts w:eastAsia="Times New Roman" w:cs="Times New Roman" w:ascii="Times New Roman" w:hAnsi="Times New Roman"/>
          <w:b/>
          <w:bCs/>
          <w:sz w:val="36"/>
          <w:szCs w:val="36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36"/>
          <w:szCs w:val="36"/>
          <w:lang w:eastAsia="pl-PL"/>
        </w:rPr>
        <w:t>i świadczeni</w:t>
      </w:r>
      <w:r>
        <w:rPr>
          <w:rFonts w:eastAsia="Times New Roman" w:cs="Times New Roman" w:ascii="Times New Roman" w:hAnsi="Times New Roman"/>
          <w:b/>
          <w:bCs/>
          <w:sz w:val="36"/>
          <w:szCs w:val="36"/>
          <w:lang w:eastAsia="pl-PL"/>
        </w:rPr>
        <w:t>a</w:t>
      </w:r>
      <w:r>
        <w:rPr>
          <w:rFonts w:eastAsia="Times New Roman" w:cs="Times New Roman" w:ascii="Times New Roman" w:hAnsi="Times New Roman"/>
          <w:b/>
          <w:bCs/>
          <w:sz w:val="36"/>
          <w:szCs w:val="36"/>
          <w:lang w:eastAsia="pl-PL"/>
        </w:rPr>
        <w:t xml:space="preserve"> pielęgnacyjne</w:t>
      </w:r>
      <w:r>
        <w:rPr>
          <w:rFonts w:eastAsia="Times New Roman" w:cs="Times New Roman" w:ascii="Times New Roman" w:hAnsi="Times New Roman"/>
          <w:b/>
          <w:bCs/>
          <w:sz w:val="36"/>
          <w:szCs w:val="36"/>
          <w:lang w:eastAsia="pl-PL"/>
        </w:rPr>
        <w:t>go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1"/>
        <w:rPr>
          <w:rFonts w:ascii="Times New Roman" w:hAnsi="Times New Roman" w:eastAsia="Times New Roman" w:cs="Times New Roman"/>
          <w:b/>
          <w:b/>
          <w:bCs/>
          <w:sz w:val="36"/>
          <w:szCs w:val="36"/>
          <w:lang w:eastAsia="pl-PL"/>
        </w:rPr>
      </w:pPr>
      <w:r>
        <w:rPr/>
      </w:r>
    </w:p>
    <w:p>
      <w:pPr>
        <w:pStyle w:val="Normal"/>
        <w:spacing w:lineRule="auto" w:line="240" w:beforeAutospacing="1" w:afterAutospacing="1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Obowiązywać będzie od 1 stycznia 2024r.</w:t>
      </w:r>
    </w:p>
    <w:p>
      <w:pPr>
        <w:pStyle w:val="Normal"/>
        <w:spacing w:lineRule="auto" w:line="240" w:beforeAutospacing="1" w:afterAutospacing="1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Świadczenie wspierające.</w:t>
      </w:r>
    </w:p>
    <w:p>
      <w:pPr>
        <w:pStyle w:val="Normal"/>
        <w:numPr>
          <w:ilvl w:val="0"/>
          <w:numId w:val="1"/>
        </w:numPr>
        <w:spacing w:lineRule="auto" w:line="240" w:beforeAutospacing="1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Celem świadczenia wspierającego jest udzielenie osobom niepełnosprawnym mającym potrzebę wsparcia pomocy służącej częściowemu pokryciu wydatków związanych z zaspokojeniem szczególnych potrzeb życiowych tych osób.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Świadczenie wspierające przysługiwać będzie od 1 stycznia 2024 r. osobie w wieku od ukończenia 18, roku życia posiadającej decyzję ustalającą poziom potrzeby wsparcia, w której potrzebę wsparcia określono na poziomie od 70 do 100 punktów w skali potrzeby wsparcia.</w:t>
      </w:r>
    </w:p>
    <w:p>
      <w:pPr>
        <w:pStyle w:val="Normal"/>
        <w:numPr>
          <w:ilvl w:val="0"/>
          <w:numId w:val="1"/>
        </w:numPr>
        <w:spacing w:lineRule="auto" w:line="240" w:before="0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Świadczenie wspierające przysługiwać będzie miesięcznie w wysokości:</w:t>
      </w:r>
    </w:p>
    <w:p>
      <w:pPr>
        <w:pStyle w:val="Normal"/>
        <w:numPr>
          <w:ilvl w:val="0"/>
          <w:numId w:val="2"/>
        </w:numPr>
        <w:spacing w:lineRule="auto" w:line="240" w:beforeAutospacing="1" w:after="0"/>
        <w:ind w:left="600" w:hanging="36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220% renty socjalnej – jeżeli w decyzji ustalającej poziom wsparcia potrzebę tę określono na poziomie od 95 do 100 punktów w skali potrzeby wsparcia o której mowa w art. 4b ust. 1 ustawy z dnia 27 sierpnia 1997r. o rehabilitacji zawodowej i społecznej oraz zatrudnianiu osób niepełnosprawnych;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600" w:hanging="36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180% renty socjalnej – jeżeli w decyzji ustalającej poziom wsparcia potrzebę tę określono na poziomie od 90 do 94 punktów w skali potrzeby wsparcia o której mowa w art. 4b ust. 1 ustawy z dnia 27 sierpnia 1997r. o rehabilitacji zawodowej i społecznej oraz zatrudnianiu osób niepełnosprawnych;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600" w:hanging="36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120% renty socjalnej – jeżeli w decyzji ustalającej poziom wsparcia potrzebę tę określono na poziomie od 85 do 89 punktów w skali potrzeby wsparcia o której mowa w art. 4b ust. 1 ustawy z dnia 27 sierpnia 1997r. o rehabilitacji zawodowej i społecznej oraz zatrudnianiu osób niepełnosprawnych;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600" w:hanging="36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80% renty socjalnej – jeżeli w decyzji ustalającej poziom wsparcia potrzebę tę określono na poziomie od 80 do 84 punktów w skali potrzeby wsparcia o której mowa w art. 4b ust. 1 ustawy z dnia 27 sierpnia 1997r. o rehabilitacji zawodowej i społecznej oraz zatrudnianiu osób niepełnosprawnych;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600" w:hanging="36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60% renty socjalnej – jeżeli w decyzji ustalającej poziom wsparcia potrzebę tę określono na poziomie od 75 do 79 punktów w skali potrzeby wsparcia o której mowa w art. 4b ust. 1 ustawy z dnia 27 sierpnia 1997r. o rehabilitacji zawodowej i społecznej oraz zatrudnianiu osób niepełnosprawnych;</w:t>
      </w:r>
    </w:p>
    <w:p>
      <w:pPr>
        <w:pStyle w:val="Normal"/>
        <w:numPr>
          <w:ilvl w:val="0"/>
          <w:numId w:val="2"/>
        </w:numPr>
        <w:spacing w:lineRule="auto" w:line="240" w:before="0" w:afterAutospacing="1"/>
        <w:ind w:left="600" w:hanging="36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40% renty socjalnej – jeżeli w decyzji ustalającej poziom wsparcia potrzebę tę określono na poziomie od 70 do 74 punktów w skali potrzeby wsparcia o której mowa w art. 4b ust. 1 ustawy z dnia 27 sierpnia 1997r. o rehabilitacji zawodowej i społecznej oraz zatrudnianiu osób niepełnosprawnych.</w:t>
      </w:r>
    </w:p>
    <w:p>
      <w:pPr>
        <w:pStyle w:val="Normal"/>
        <w:spacing w:lineRule="auto" w:line="240" w:beforeAutospacing="1" w:afterAutospacing="1"/>
        <w:ind w:left="600" w:hanging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Ustawa o świadczeniu wspierającym wejdzie w życie 1 stycznia 2024 r. z pewnymi wyjątkami:</w:t>
      </w:r>
    </w:p>
    <w:p>
      <w:pPr>
        <w:pStyle w:val="Normal"/>
        <w:spacing w:lineRule="auto" w:line="240" w:beforeAutospacing="1" w:afterAutospacing="1"/>
        <w:ind w:left="1080" w:hanging="0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- od 1 stycznia 2024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r. – świadczenie wspierające będzie dostępne dla osób z niepełnosprawnościami z ustalonym poziomem potrzeby wsparcia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od 87 do 100 pkt,</w:t>
      </w:r>
    </w:p>
    <w:p>
      <w:pPr>
        <w:pStyle w:val="Normal"/>
        <w:spacing w:lineRule="auto" w:line="240" w:beforeAutospacing="1" w:afterAutospacing="1"/>
        <w:ind w:left="1080" w:hanging="0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- od 1 stycznia 2025 r.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– świadczenie wspierające będzie dostępne dla osób z niepełnosprawnościami z ustalonym poziomem potrzeby wsparcia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od 78 do 86 pkt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,</w:t>
      </w:r>
    </w:p>
    <w:p>
      <w:pPr>
        <w:pStyle w:val="Normal"/>
        <w:spacing w:lineRule="auto" w:line="240" w:beforeAutospacing="1" w:afterAutospacing="1"/>
        <w:ind w:left="1080" w:hanging="0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- od 1 stycznia 2026 r.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- świadczenie wspierające będzie dostępne dla osób z niepełnosprawnościami z ustalonym poziomem potrzeby wsparcia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od 70 do 77 pkt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.</w:t>
      </w:r>
    </w:p>
    <w:p>
      <w:pPr>
        <w:pStyle w:val="Normal"/>
        <w:spacing w:lineRule="auto" w:line="240" w:beforeAutospacing="1" w:afterAutospacing="1"/>
        <w:ind w:left="1080" w:hanging="0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Uwaga: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wyjątkiem od tak określonego ustawą harmonogramu wejścia w życie ustawy jest art. 64 ustawy, zgodnie z którym osoba wymagająca opieki:</w:t>
      </w:r>
    </w:p>
    <w:p>
      <w:pPr>
        <w:pStyle w:val="Normal"/>
        <w:spacing w:lineRule="auto" w:line="240" w:beforeAutospacing="1" w:afterAutospacing="1"/>
        <w:ind w:left="1080" w:hanging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1) na którą przyznano na podstawie przepisów dotychczasowych prawo do świadczenia pielęgnacyjnego, specjalnego zasiłku opiekuńczego, albo zasiłku dla opiekuna,</w:t>
      </w:r>
    </w:p>
    <w:p>
      <w:pPr>
        <w:pStyle w:val="Normal"/>
        <w:spacing w:lineRule="auto" w:line="240" w:beforeAutospacing="1" w:afterAutospacing="1"/>
        <w:ind w:left="1080" w:hanging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2) na którą przyznano prawo do świadczenia pielęgnacyjnego na podstawie nowego, obowiązującego od 1 stycznia 2024r. brzmienia ustawy o świadczeniach rodzinnych</w:t>
      </w:r>
    </w:p>
    <w:p>
      <w:pPr>
        <w:pStyle w:val="Normal"/>
        <w:spacing w:lineRule="auto" w:line="240" w:beforeAutospacing="1" w:afterAutospacing="1"/>
        <w:ind w:left="1080" w:hanging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– 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będzie mogła otrzymać świadczenie wspierające od dnia 1 stycznia 2024 r., także w przypadku, gdy w decyzji ustalającej poziom potrzeby wsparcia, potrzebę tę określono na poziomie niższym niż 87 punktów w skali potrzeby wsparcia.</w:t>
      </w:r>
    </w:p>
    <w:p>
      <w:pPr>
        <w:pStyle w:val="Normal"/>
        <w:numPr>
          <w:ilvl w:val="0"/>
          <w:numId w:val="3"/>
        </w:numPr>
        <w:spacing w:lineRule="auto" w:line="240" w:beforeAutospacing="1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Wniosek o ustalenie prawa do świadczenia wspierającego będzie można złożyć do Zakładu Ubezpieczeń Społecznych.</w:t>
      </w:r>
    </w:p>
    <w:p>
      <w:pPr>
        <w:pStyle w:val="Normal"/>
        <w:numPr>
          <w:ilvl w:val="0"/>
          <w:numId w:val="3"/>
        </w:numPr>
        <w:spacing w:lineRule="auto" w:line="240" w:before="0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Wniosek o wydanie decyzji ustalającej poziom potrzeby wsparcia będzie można złożyć do wojewódzkiego zespołu do spraw orzekania</w:t>
        <w:br/>
        <w:t>o niepełnosprawności (wojewody).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Świadczenie pielęgnacyjne.</w:t>
      </w:r>
    </w:p>
    <w:p>
      <w:pPr>
        <w:pStyle w:val="Normal"/>
        <w:numPr>
          <w:ilvl w:val="0"/>
          <w:numId w:val="4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Od 1 stycznia 2024 r. świadczenie pielęgnacyjne przysługiwać będzie między innymi:</w:t>
      </w:r>
    </w:p>
    <w:p>
      <w:pPr>
        <w:pStyle w:val="Normal"/>
        <w:numPr>
          <w:ilvl w:val="0"/>
          <w:numId w:val="5"/>
        </w:numPr>
        <w:spacing w:lineRule="auto" w:line="240" w:beforeAutospacing="1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rodzinie zastępczej;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osobie prowadzącej rodzinny dom dziecka;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dyrektorowi placówki opiekuńczo – wychowawczej;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dyrektorowi regionalnej placówki opiekuńczo – terapeutycznej;</w:t>
      </w:r>
    </w:p>
    <w:p>
      <w:pPr>
        <w:pStyle w:val="Normal"/>
        <w:numPr>
          <w:ilvl w:val="0"/>
          <w:numId w:val="5"/>
        </w:numPr>
        <w:spacing w:lineRule="auto" w:line="240" w:before="0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dyrektorowi interwencyjnego ośrodka preadopcyjnego,</w:t>
      </w:r>
    </w:p>
    <w:p>
      <w:pPr>
        <w:pStyle w:val="Normal"/>
        <w:spacing w:lineRule="auto" w:line="240" w:beforeAutospacing="1" w:afterAutospacing="1"/>
        <w:ind w:left="720" w:hanging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jeżeli sprawują opiekę nad osobą w wieku do ukończenia 18, roku życia legitymującą się orzeczeniem o znacznym stopniu niepełnosprawności albo orzeczeniem o niepełnosprawności łącznie ze wskazaniami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p>
      <w:pPr>
        <w:pStyle w:val="Normal"/>
        <w:numPr>
          <w:ilvl w:val="0"/>
          <w:numId w:val="6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Rodzinie zastępczej i osobie prowadzącej rodzinny dom dziecka sprawującym opiekę nad więcej niż jedną osobą w wieku do ukończenia 18, roku życia legitymującą się orzeczeniem o znacznym stopni niepełnosprawności albo orzeczeniem o niepełnosprawności łącznie ze wskazaniami, konieczności stałej i długotrwałej opieki lub pomocy innej osoby, w związku ze znacznie ograniczoną możliwością samodzielnej egzystencji oraz konieczności stałego współudziału na co dzień opiekuna dziecka w procesie jego leczenia, rehabilitacji i edukacji, wysokość świadczenia pielęgnacyjnego, podwyższa się o 100% na drugą i każdą kolejną osobę, nad którą sprawowana jest opieka.</w:t>
      </w:r>
    </w:p>
    <w:p>
      <w:pPr>
        <w:pStyle w:val="Normal"/>
        <w:numPr>
          <w:ilvl w:val="0"/>
          <w:numId w:val="7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Świadczenie pielęgnacyjne nie będzie przysługiwać, jeżeli:</w:t>
      </w:r>
    </w:p>
    <w:p>
      <w:pPr>
        <w:pStyle w:val="Normal"/>
        <w:numPr>
          <w:ilvl w:val="0"/>
          <w:numId w:val="8"/>
        </w:numPr>
        <w:spacing w:lineRule="auto" w:line="240" w:beforeAutospacing="1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osoba sprawująca opiekę ma ustalone prawo do specjalnego zasiłku opiekuńczego, świadczenia pielęgnacyjnego lub zasiłku dla opiekuna;</w:t>
      </w:r>
    </w:p>
    <w:p>
      <w:pPr>
        <w:pStyle w:val="Normal"/>
        <w:numPr>
          <w:ilvl w:val="0"/>
          <w:numId w:val="8"/>
        </w:numPr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osoba wymagająca opieki została umieszczona lub przebywa w domu pomocy społecznej, zakładzie opiekuńczo – leczniczym, zakładzie pielęgnacyjno – opiekuńczym, placówce zapewniającej całodobową opiekę osobom niepełnosprawnym, przewlekle chorym lub osobom w podeszłym wieku, zakładzie karnym, zakładzie poprawczym, areszcie śledczym lub schronisku dla nieletnich;</w:t>
      </w:r>
    </w:p>
    <w:p>
      <w:pPr>
        <w:pStyle w:val="Normal"/>
        <w:numPr>
          <w:ilvl w:val="0"/>
          <w:numId w:val="8"/>
        </w:numPr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osoba wymagająca opieki jest uprawniona za granicą do świadczenia na pokrycie wydatków związanych z opieką, chyba że przepisy o koordynacji systemów zabezpieczenia społecznego lub dwustronne umowy o zabezpieczeniu społecznym stanowią inaczej;</w:t>
      </w:r>
    </w:p>
    <w:p>
      <w:pPr>
        <w:pStyle w:val="Normal"/>
        <w:numPr>
          <w:ilvl w:val="0"/>
          <w:numId w:val="8"/>
        </w:numPr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na osobę wymagającą opieki inna osoba jest uprawniona za granicą do świadczenia na pokrycie wydatków związanych z opieką, chyba że przepisy o koordynacji systemów zabezpieczenia społecznego lub dwustronne umowy o zabezpieczeniu społecznym stanowią inaczej;</w:t>
      </w:r>
    </w:p>
    <w:p>
      <w:pPr>
        <w:pStyle w:val="Normal"/>
        <w:numPr>
          <w:ilvl w:val="0"/>
          <w:numId w:val="8"/>
        </w:numPr>
        <w:spacing w:lineRule="auto" w:line="240" w:before="0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na osobę wymagającą opieki jest ustalone prawo do specjalnego zasiłku opiekuńczego, prawo do świadczenia pielęgnacyjnego lub prawo do zasiłku dla opiekuna.</w:t>
      </w:r>
    </w:p>
    <w:p>
      <w:pPr>
        <w:pStyle w:val="Normal"/>
        <w:numPr>
          <w:ilvl w:val="0"/>
          <w:numId w:val="9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Wniosek o ustalenie prawa do świadczenia pielęgnacyjnego na dziecko umieszczone w pieczy zastępczej będzie mógł złożyć wyłącznie odpowiednio rodzina zastępcza, osoba prowadząca rodzinny dom dziecka, dyrektor placówki opiekuńczo – wychowawczej, dyrektor regionalnej placówki opiekuńczo – terapeutycznej albo dyrektor interwencyjnego ośrodka preadopcyjnego.</w:t>
      </w:r>
    </w:p>
    <w:p>
      <w:pPr>
        <w:pStyle w:val="Normal"/>
        <w:numPr>
          <w:ilvl w:val="0"/>
          <w:numId w:val="10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Wniosek o ustalenie prawa do świadczenia pielęgnacyjnego składa się w urzędzie gminy lub miasta właściwym ze względu na miejsce zamieszkania (albo w ośrodku pomocy społecznej lub w innej jednostce organizacyjnej gminy, jeżeli to właśnie im przekazana została w danej gminie realizacja świadczeń rodzinnych).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6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LibreOffice/6.3.4.2$Windows_X86_64 LibreOffice_project/60da17e045e08f1793c57c00ba83cdfce946d0aa</Application>
  <Pages>3</Pages>
  <Words>1012</Words>
  <Characters>6334</Characters>
  <CharactersWithSpaces>7296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2023-09-11T10:03:00Z</dcterms:created>
  <dc:creator>IzaKaras</dc:creator>
  <dc:description/>
  <dc:language>pl-PL</dc:language>
  <cp:lastModifiedBy/>
  <dcterms:modified xsi:type="dcterms:W3CDTF">2023-09-11T12:21:11Z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